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EC" w:rsidRPr="00B37F38" w:rsidRDefault="00161AEC" w:rsidP="00161AEC">
      <w:pPr>
        <w:jc w:val="center"/>
        <w:rPr>
          <w:b/>
          <w:sz w:val="32"/>
          <w:szCs w:val="22"/>
        </w:rPr>
      </w:pPr>
      <w:r w:rsidRPr="00B37F38">
        <w:rPr>
          <w:b/>
          <w:sz w:val="32"/>
          <w:szCs w:val="22"/>
        </w:rPr>
        <w:t>ATTACHMENT C – Fee Schedule</w:t>
      </w:r>
    </w:p>
    <w:p w:rsidR="00161AEC" w:rsidRPr="00B37F38" w:rsidRDefault="00161AEC" w:rsidP="00161AEC">
      <w:pPr>
        <w:jc w:val="center"/>
        <w:rPr>
          <w:sz w:val="22"/>
          <w:szCs w:val="22"/>
        </w:rPr>
      </w:pPr>
      <w:r w:rsidRPr="00B37F38">
        <w:rPr>
          <w:szCs w:val="22"/>
        </w:rPr>
        <w:t>(RFQ# 9600-76)</w:t>
      </w:r>
    </w:p>
    <w:p w:rsidR="00161AEC" w:rsidRPr="00B37F38" w:rsidRDefault="00161AEC" w:rsidP="00161AEC">
      <w:pPr>
        <w:rPr>
          <w:b/>
        </w:rPr>
      </w:pPr>
      <w:r>
        <w:rPr>
          <w:rFonts w:eastAsia="Calibri"/>
          <w:b/>
          <w:sz w:val="28"/>
          <w:szCs w:val="28"/>
        </w:rPr>
        <w:pict>
          <v:rect id="_x0000_i1025" style="width:0;height:1.5pt" o:hralign="center" o:hrstd="t" o:hr="t" fillcolor="#a0a0a0" stroked="f"/>
        </w:pict>
      </w:r>
    </w:p>
    <w:p w:rsidR="00161AEC" w:rsidRPr="00B37F38" w:rsidRDefault="00161AEC" w:rsidP="00161AEC">
      <w:r w:rsidRPr="00B37F38">
        <w:rPr>
          <w:b/>
          <w:u w:val="double"/>
        </w:rPr>
        <w:t>Fee Schedule shall be included in a separate Sealed Envelope</w:t>
      </w:r>
      <w:r w:rsidRPr="00B37F38">
        <w:rPr>
          <w:b/>
        </w:rPr>
        <w:t xml:space="preserve"> </w:t>
      </w:r>
      <w:r w:rsidRPr="00B37F38">
        <w:t>to be opened only after final selection of qualified CONTRACTOR(S) has been made by the NMC Selection Committee.</w:t>
      </w:r>
    </w:p>
    <w:p w:rsidR="00161AEC" w:rsidRPr="00B37F38" w:rsidRDefault="00161AEC" w:rsidP="00161AEC"/>
    <w:p w:rsidR="00161AEC" w:rsidRPr="00B37F38" w:rsidRDefault="00161AEC" w:rsidP="00161AEC">
      <w:pPr>
        <w:pStyle w:val="CM51"/>
        <w:spacing w:line="276" w:lineRule="atLeast"/>
        <w:ind w:right="153"/>
        <w:rPr>
          <w:rFonts w:ascii="Times New Roman" w:hAnsi="Times New Roman"/>
          <w:sz w:val="22"/>
        </w:rPr>
      </w:pPr>
      <w:r w:rsidRPr="00B37F38">
        <w:rPr>
          <w:rFonts w:ascii="Times New Roman" w:hAnsi="Times New Roman"/>
          <w:sz w:val="22"/>
        </w:rPr>
        <w:t xml:space="preserve">The undersigned, having read and understood all proposal information, hereby submits fees for ENGINEERING TESTING AND INSPECTION SERVICES. It is also understood that the Fee Schedule will </w:t>
      </w:r>
      <w:r w:rsidRPr="00B37F38">
        <w:rPr>
          <w:rFonts w:ascii="Times New Roman" w:hAnsi="Times New Roman"/>
          <w:b/>
          <w:sz w:val="22"/>
          <w:u w:val="single"/>
        </w:rPr>
        <w:t>not</w:t>
      </w:r>
      <w:r w:rsidRPr="00B37F38">
        <w:rPr>
          <w:rFonts w:ascii="Times New Roman" w:hAnsi="Times New Roman"/>
          <w:sz w:val="22"/>
        </w:rPr>
        <w:t xml:space="preserve"> be used by NMC as part of the criteria to select the firm(s) for possible interviews by the selection committee, but that the Fee Schedule may be used in negotiations with the qualified firm(s) for the required services.</w:t>
      </w:r>
    </w:p>
    <w:tbl>
      <w:tblPr>
        <w:tblW w:w="944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7015"/>
        <w:gridCol w:w="2430"/>
      </w:tblGrid>
      <w:tr w:rsidR="00161AEC" w:rsidRPr="00B37F38" w:rsidTr="00FB7B04">
        <w:trPr>
          <w:trHeight w:val="250"/>
        </w:trPr>
        <w:tc>
          <w:tcPr>
            <w:tcW w:w="7015" w:type="dxa"/>
          </w:tcPr>
          <w:p w:rsidR="00161AEC" w:rsidRPr="00B37F38" w:rsidRDefault="00161AEC" w:rsidP="00FB7B04">
            <w:pPr>
              <w:pStyle w:val="Default"/>
              <w:jc w:val="center"/>
              <w:rPr>
                <w:rFonts w:ascii="Arial" w:hAnsi="Arial" w:cs="Arial"/>
                <w:b/>
                <w:color w:val="auto"/>
              </w:rPr>
            </w:pPr>
            <w:r w:rsidRPr="00B37F38">
              <w:rPr>
                <w:rFonts w:ascii="Arial" w:hAnsi="Arial" w:cs="Arial"/>
                <w:b/>
                <w:color w:val="auto"/>
              </w:rPr>
              <w:t>Position/Title</w:t>
            </w:r>
          </w:p>
          <w:p w:rsidR="00161AEC" w:rsidRPr="00B37F38" w:rsidRDefault="00161AEC" w:rsidP="00FB7B04">
            <w:pPr>
              <w:pStyle w:val="Default"/>
              <w:jc w:val="center"/>
              <w:rPr>
                <w:rFonts w:ascii="Arial" w:hAnsi="Arial" w:cs="Arial"/>
                <w:color w:val="auto"/>
                <w:sz w:val="22"/>
              </w:rPr>
            </w:pPr>
            <w:r w:rsidRPr="00B37F38">
              <w:rPr>
                <w:rFonts w:ascii="Arial" w:hAnsi="Arial" w:cs="Arial"/>
                <w:color w:val="auto"/>
                <w:sz w:val="20"/>
              </w:rPr>
              <w:t>(Add Additional Positions/Titles as Needed)</w:t>
            </w:r>
          </w:p>
        </w:tc>
        <w:tc>
          <w:tcPr>
            <w:tcW w:w="2430" w:type="dxa"/>
          </w:tcPr>
          <w:p w:rsidR="00161AEC" w:rsidRPr="00B37F38" w:rsidRDefault="00161AEC" w:rsidP="00FB7B04">
            <w:pPr>
              <w:pStyle w:val="Default"/>
              <w:jc w:val="center"/>
              <w:rPr>
                <w:rFonts w:ascii="Arial" w:hAnsi="Arial" w:cs="Arial"/>
                <w:b/>
                <w:color w:val="auto"/>
              </w:rPr>
            </w:pPr>
            <w:r w:rsidRPr="00B37F38">
              <w:rPr>
                <w:rFonts w:ascii="Arial" w:hAnsi="Arial" w:cs="Arial"/>
                <w:b/>
                <w:color w:val="auto"/>
              </w:rPr>
              <w:t>Hourly Rate</w:t>
            </w:r>
          </w:p>
        </w:tc>
      </w:tr>
      <w:tr w:rsidR="00161AEC" w:rsidRPr="00B37F38" w:rsidTr="00FB7B04">
        <w:trPr>
          <w:trHeight w:val="432"/>
        </w:trPr>
        <w:tc>
          <w:tcPr>
            <w:tcW w:w="7015" w:type="dxa"/>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Principal</w:t>
            </w:r>
          </w:p>
        </w:tc>
        <w:tc>
          <w:tcPr>
            <w:tcW w:w="2430" w:type="dxa"/>
          </w:tcPr>
          <w:p w:rsidR="00161AEC" w:rsidRPr="00B37F38" w:rsidRDefault="00161AEC" w:rsidP="00FB7B04">
            <w:pPr>
              <w:pStyle w:val="Default"/>
              <w:jc w:val="center"/>
              <w:rPr>
                <w:rFonts w:ascii="Arial" w:hAnsi="Arial" w:cs="Arial"/>
                <w:color w:val="auto"/>
              </w:rPr>
            </w:pPr>
          </w:p>
        </w:tc>
      </w:tr>
      <w:tr w:rsidR="00161AEC" w:rsidRPr="00B37F38" w:rsidTr="00FB7B04">
        <w:trPr>
          <w:trHeight w:val="432"/>
        </w:trPr>
        <w:tc>
          <w:tcPr>
            <w:tcW w:w="7015" w:type="dxa"/>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Registered Geotechnical Engineer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center"/>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Registered Civil Engineer</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center"/>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Certified Engineering Geologist</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center"/>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Project Engineer/ Geologist Manager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center"/>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Computer Aided Drafting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Secretarial Services </w:t>
            </w:r>
          </w:p>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bookmarkStart w:id="0" w:name="_GoBack"/>
          </w:p>
        </w:tc>
        <w:tc>
          <w:tcPr>
            <w:tcW w:w="2430" w:type="dxa"/>
          </w:tcPr>
          <w:p w:rsidR="00161AEC" w:rsidRPr="00B37F38" w:rsidRDefault="00161AEC" w:rsidP="00FB7B04">
            <w:pPr>
              <w:pStyle w:val="Default"/>
              <w:rPr>
                <w:rFonts w:ascii="Arial" w:hAnsi="Arial" w:cs="Arial"/>
                <w:color w:val="auto"/>
              </w:rPr>
            </w:pPr>
          </w:p>
        </w:tc>
      </w:tr>
      <w:bookmarkEnd w:id="0"/>
      <w:tr w:rsidR="00161AEC" w:rsidRPr="003C7014" w:rsidTr="00FB7B04">
        <w:trPr>
          <w:trHeight w:val="432"/>
        </w:trPr>
        <w:tc>
          <w:tcPr>
            <w:tcW w:w="9445" w:type="dxa"/>
            <w:gridSpan w:val="2"/>
            <w:shd w:val="clear" w:color="auto" w:fill="D9D9D9" w:themeFill="background1" w:themeFillShade="D9"/>
            <w:vAlign w:val="bottom"/>
          </w:tcPr>
          <w:p w:rsidR="00161AEC" w:rsidRPr="003C7014" w:rsidRDefault="00161AEC" w:rsidP="00FB7B04">
            <w:pPr>
              <w:pStyle w:val="Default"/>
              <w:jc w:val="center"/>
              <w:rPr>
                <w:rFonts w:ascii="Arial" w:hAnsi="Arial" w:cs="Arial"/>
                <w:b/>
                <w:color w:val="auto"/>
                <w:sz w:val="22"/>
                <w:szCs w:val="22"/>
              </w:rPr>
            </w:pPr>
            <w:r>
              <w:rPr>
                <w:rFonts w:ascii="Arial" w:hAnsi="Arial" w:cs="Arial"/>
                <w:b/>
                <w:color w:val="auto"/>
                <w:sz w:val="22"/>
                <w:szCs w:val="22"/>
              </w:rPr>
              <w:t>FIELD INSPECTION SERVICES</w:t>
            </w:r>
          </w:p>
        </w:tc>
      </w:tr>
      <w:tr w:rsidR="00161AEC" w:rsidRPr="00B37F38" w:rsidTr="00FB7B04">
        <w:trPr>
          <w:trHeight w:val="273"/>
        </w:trPr>
        <w:tc>
          <w:tcPr>
            <w:tcW w:w="7015" w:type="dxa"/>
            <w:vAlign w:val="bottom"/>
          </w:tcPr>
          <w:p w:rsidR="00161AEC" w:rsidRPr="00B37F38" w:rsidRDefault="00161AEC" w:rsidP="00FB7B04">
            <w:pPr>
              <w:pStyle w:val="Default"/>
              <w:rPr>
                <w:rFonts w:ascii="Arial" w:hAnsi="Arial" w:cs="Arial"/>
                <w:color w:val="auto"/>
              </w:rPr>
            </w:pPr>
            <w:r>
              <w:rPr>
                <w:rFonts w:ascii="Arial" w:hAnsi="Arial" w:cs="Arial"/>
                <w:b/>
                <w:color w:val="auto"/>
              </w:rPr>
              <w:t xml:space="preserve">Field Inspection Services </w:t>
            </w:r>
          </w:p>
        </w:tc>
        <w:tc>
          <w:tcPr>
            <w:tcW w:w="2430" w:type="dxa"/>
          </w:tcPr>
          <w:p w:rsidR="00161AEC" w:rsidRPr="00B37F38" w:rsidRDefault="00161AEC" w:rsidP="00FB7B04">
            <w:pPr>
              <w:pStyle w:val="Default"/>
              <w:rPr>
                <w:rFonts w:ascii="Arial" w:hAnsi="Arial" w:cs="Arial"/>
                <w:b/>
                <w:color w:val="auto"/>
                <w:sz w:val="22"/>
                <w:szCs w:val="22"/>
              </w:rPr>
            </w:pPr>
            <w:r>
              <w:rPr>
                <w:rFonts w:ascii="Arial" w:hAnsi="Arial" w:cs="Arial"/>
                <w:b/>
                <w:color w:val="auto"/>
                <w:sz w:val="22"/>
                <w:szCs w:val="22"/>
              </w:rPr>
              <w:t xml:space="preserve">Hourly Rate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ACI Technician – Field Sampling and Testing Concrete</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Earthwork Observation and Compacting Testing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Special Inspection and Observations – Reinforced Concrete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Special Inspection and Observations – Structural Masonry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Special Inspection and Observations – Structural Steel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Non-Destructive Testing Services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Spray-Applied Fireproofing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Batch Plant Inspection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Shop Welding and Steel Fabrication Inspection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3C7014" w:rsidTr="00FB7B04">
        <w:trPr>
          <w:trHeight w:val="432"/>
        </w:trPr>
        <w:tc>
          <w:tcPr>
            <w:tcW w:w="9445" w:type="dxa"/>
            <w:gridSpan w:val="2"/>
            <w:shd w:val="clear" w:color="auto" w:fill="D9D9D9" w:themeFill="background1" w:themeFillShade="D9"/>
            <w:vAlign w:val="bottom"/>
          </w:tcPr>
          <w:p w:rsidR="00161AEC" w:rsidRPr="003C7014" w:rsidRDefault="00161AEC" w:rsidP="00FB7B04">
            <w:pPr>
              <w:pStyle w:val="Default"/>
              <w:jc w:val="center"/>
              <w:rPr>
                <w:rFonts w:ascii="Arial" w:hAnsi="Arial" w:cs="Arial"/>
                <w:b/>
                <w:color w:val="auto"/>
                <w:sz w:val="22"/>
                <w:szCs w:val="22"/>
              </w:rPr>
            </w:pPr>
            <w:r w:rsidRPr="00B37F38">
              <w:rPr>
                <w:rFonts w:ascii="Arial" w:hAnsi="Arial" w:cs="Arial"/>
                <w:b/>
                <w:color w:val="auto"/>
                <w:sz w:val="22"/>
                <w:szCs w:val="22"/>
              </w:rPr>
              <w:lastRenderedPageBreak/>
              <w:t>MATERIAL TESTING FEES</w:t>
            </w:r>
          </w:p>
        </w:tc>
      </w:tr>
      <w:tr w:rsidR="00161AEC" w:rsidRPr="00B37F38" w:rsidTr="00FB7B04">
        <w:trPr>
          <w:trHeight w:val="273"/>
        </w:trPr>
        <w:tc>
          <w:tcPr>
            <w:tcW w:w="7015" w:type="dxa"/>
            <w:vAlign w:val="bottom"/>
          </w:tcPr>
          <w:p w:rsidR="00161AEC" w:rsidRPr="00B37F38" w:rsidRDefault="00161AEC" w:rsidP="00FB7B04">
            <w:pPr>
              <w:pStyle w:val="Default"/>
              <w:rPr>
                <w:rFonts w:ascii="Arial" w:hAnsi="Arial" w:cs="Arial"/>
                <w:color w:val="auto"/>
              </w:rPr>
            </w:pPr>
            <w:r w:rsidRPr="00B37F38">
              <w:rPr>
                <w:rFonts w:ascii="Arial" w:hAnsi="Arial" w:cs="Arial"/>
                <w:b/>
                <w:color w:val="auto"/>
              </w:rPr>
              <w:t>Aggregates</w:t>
            </w:r>
          </w:p>
        </w:tc>
        <w:tc>
          <w:tcPr>
            <w:tcW w:w="2430" w:type="dxa"/>
          </w:tcPr>
          <w:p w:rsidR="00161AEC" w:rsidRPr="00B37F38" w:rsidRDefault="00161AEC" w:rsidP="00FB7B04">
            <w:pPr>
              <w:pStyle w:val="Default"/>
              <w:rPr>
                <w:rFonts w:ascii="Arial" w:hAnsi="Arial" w:cs="Arial"/>
                <w:b/>
                <w:color w:val="auto"/>
                <w:sz w:val="22"/>
                <w:szCs w:val="22"/>
              </w:rPr>
            </w:pPr>
            <w:r>
              <w:rPr>
                <w:rFonts w:ascii="Arial" w:hAnsi="Arial" w:cs="Arial"/>
                <w:b/>
                <w:color w:val="auto"/>
                <w:sz w:val="22"/>
                <w:szCs w:val="22"/>
              </w:rPr>
              <w:t>Cost per EA</w:t>
            </w:r>
          </w:p>
        </w:tc>
      </w:tr>
      <w:tr w:rsidR="00161AEC" w:rsidRPr="00B37F38" w:rsidTr="00FB7B04">
        <w:trPr>
          <w:trHeight w:val="273"/>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Sieve Analysis without Wash ASTM C136</w:t>
            </w:r>
          </w:p>
        </w:tc>
        <w:tc>
          <w:tcPr>
            <w:tcW w:w="2430" w:type="dxa"/>
          </w:tcPr>
          <w:p w:rsidR="00161AEC" w:rsidRPr="00B37F38" w:rsidRDefault="00161AEC" w:rsidP="00FB7B04">
            <w:pPr>
              <w:pStyle w:val="Default"/>
              <w:rPr>
                <w:rFonts w:ascii="Arial" w:hAnsi="Arial" w:cs="Arial"/>
                <w:b/>
                <w:color w:val="auto"/>
                <w:sz w:val="22"/>
                <w:szCs w:val="22"/>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Sieve Analysis with Wash ASTM C117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Passing #200 Sieve ASTM C117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Specific Gravity &amp; Absorption (Coarse) ASTM C127</w:t>
            </w:r>
          </w:p>
        </w:tc>
        <w:tc>
          <w:tcPr>
            <w:tcW w:w="2430" w:type="dxa"/>
          </w:tcPr>
          <w:p w:rsidR="00161AEC" w:rsidRPr="00B37F38" w:rsidRDefault="00161AEC" w:rsidP="00FB7B04">
            <w:pPr>
              <w:pStyle w:val="Default"/>
              <w:rPr>
                <w:rFonts w:ascii="Arial" w:hAnsi="Arial" w:cs="Arial"/>
                <w:color w:val="auto"/>
              </w:rPr>
            </w:pPr>
            <w:r w:rsidRPr="00B37F38">
              <w:rPr>
                <w:rFonts w:ascii="Arial" w:hAnsi="Arial" w:cs="Arial"/>
                <w:color w:val="auto"/>
              </w:rPr>
              <w:t xml:space="preserve">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Specific Gravity &amp; Absorption (Fine) ASTM C128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Clay Lumps and Friable Particles (ASTM C142)</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Cleanness Value CT 229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of Crushed Particles (Fractured Face) ASTM D5821</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Durability Index CT229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LA Rattle Abrasion Testing ASTM C535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Organic Impurities ASTM C40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Potential Reactivity – Chemical Method ASTM C289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Magnesium or Sodium Sulfate Soundness ASTM C88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Sand Equivalent ASTM D2419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Lightweight Pieces in Concrete Aggregate ASTM C123</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Stone Proctor ASTM C29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Flat &amp; Elongated Particles in Coarse Aggregate AST C4791</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 xml:space="preserve">Asphalt </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 xml:space="preserve">Cost per EACH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b/>
                <w:color w:val="auto"/>
              </w:rPr>
            </w:pPr>
            <w:r w:rsidRPr="00B37F38">
              <w:rPr>
                <w:rFonts w:ascii="Arial" w:hAnsi="Arial" w:cs="Arial"/>
                <w:color w:val="auto"/>
                <w:sz w:val="22"/>
                <w:szCs w:val="22"/>
              </w:rPr>
              <w:t>Marshall Density-Lab Mix Method ASTM D69296</w:t>
            </w: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Asphalt Extraction (Ignition Method) ASTM C6307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Asphalt Gradation and Extraction ASTM C5444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Maximum Theoretical Density/Rice Specific Gravity ASTM D2041</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roofErr w:type="spellStart"/>
            <w:r w:rsidRPr="00B37F38">
              <w:rPr>
                <w:rFonts w:ascii="Arial" w:hAnsi="Arial" w:cs="Arial"/>
                <w:color w:val="auto"/>
                <w:sz w:val="22"/>
                <w:szCs w:val="22"/>
              </w:rPr>
              <w:t>Hveem</w:t>
            </w:r>
            <w:proofErr w:type="spellEnd"/>
            <w:r w:rsidRPr="00B37F38">
              <w:rPr>
                <w:rFonts w:ascii="Arial" w:hAnsi="Arial" w:cs="Arial"/>
                <w:color w:val="auto"/>
                <w:sz w:val="22"/>
                <w:szCs w:val="22"/>
              </w:rPr>
              <w:t xml:space="preserve"> Stability ASTM D5160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Marshal Flow and Stability ASTM C6927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Bulk Density Testing of Cores ASTM D1188 or ASTM D2726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Swell CT 305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lastRenderedPageBreak/>
              <w:t>Moisture Vapor Susceptibility CT307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Asphalt Extraction (Solvent Method) ASTM D2172</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Graduation and Oil Extraction Correction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Asphalt Core Thickness ASTM D3549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Concrete</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 xml:space="preserve">Cost per EACH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b/>
                <w:color w:val="auto"/>
              </w:rPr>
            </w:pPr>
            <w:r w:rsidRPr="00B37F38">
              <w:rPr>
                <w:rFonts w:ascii="Arial" w:hAnsi="Arial" w:cs="Arial"/>
                <w:color w:val="auto"/>
                <w:sz w:val="22"/>
                <w:szCs w:val="22"/>
              </w:rPr>
              <w:t>Concrete Compressive Strength Tests 6”x12”  (Set of 4) ASTM C39</w:t>
            </w:r>
          </w:p>
        </w:tc>
        <w:tc>
          <w:tcPr>
            <w:tcW w:w="2430" w:type="dxa"/>
          </w:tcPr>
          <w:p w:rsidR="00161AEC" w:rsidRPr="00B37F38" w:rsidRDefault="00161AEC" w:rsidP="00FB7B04">
            <w:pPr>
              <w:pStyle w:val="Default"/>
              <w:rPr>
                <w:rFonts w:ascii="Arial" w:hAnsi="Arial" w:cs="Arial"/>
                <w:color w:val="auto"/>
                <w:sz w:val="22"/>
                <w:szCs w:val="22"/>
              </w:rPr>
            </w:pPr>
          </w:p>
          <w:p w:rsidR="00161AEC" w:rsidRPr="00B37F38" w:rsidRDefault="00161AEC" w:rsidP="00FB7B04">
            <w:pPr>
              <w:pStyle w:val="Default"/>
              <w:rPr>
                <w:rFonts w:ascii="Arial" w:hAnsi="Arial" w:cs="Arial"/>
                <w:b/>
                <w:color w:val="auto"/>
              </w:rPr>
            </w:pPr>
            <w:r w:rsidRPr="00B37F38">
              <w:rPr>
                <w:rFonts w:ascii="Arial" w:hAnsi="Arial" w:cs="Arial"/>
                <w:color w:val="auto"/>
                <w:sz w:val="22"/>
                <w:szCs w:val="22"/>
              </w:rPr>
              <w:t>$ (Set of 4)</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Concrete Compressive Strength Tests 6”x12”  ASTM C39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Concrete Compressive Strength Tests 6”x12”  ASTM C39, held not tested</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Compressive Strength of Concrete Cores ASTM C42</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Flexural Strength Beam ASTM C78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Splitting Tensile Strength of Cylindrical Concrete ASTM C496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Unit Weight of Lightweight Concrete ASTM C567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Compressive Strength of Lightweight Concrete ASTM C495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Dry Shrinkage of Concrete ASTM C157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roofErr w:type="spellStart"/>
            <w:r w:rsidRPr="00B37F38">
              <w:rPr>
                <w:rFonts w:ascii="Arial" w:hAnsi="Arial" w:cs="Arial"/>
                <w:color w:val="auto"/>
                <w:sz w:val="22"/>
                <w:szCs w:val="22"/>
              </w:rPr>
              <w:t>Gunite</w:t>
            </w:r>
            <w:proofErr w:type="spellEnd"/>
            <w:r w:rsidRPr="00B37F38">
              <w:rPr>
                <w:rFonts w:ascii="Arial" w:hAnsi="Arial" w:cs="Arial"/>
                <w:color w:val="auto"/>
                <w:sz w:val="22"/>
                <w:szCs w:val="22"/>
              </w:rPr>
              <w:t>/Shotcrete Panels ASTM C1140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Preparation of Concrete Specimens by Saw Cutting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Concrete Compressive Strength Test 4”x8” (set of 5) ASTM C39</w:t>
            </w:r>
          </w:p>
        </w:tc>
        <w:tc>
          <w:tcPr>
            <w:tcW w:w="2430" w:type="dxa"/>
          </w:tcPr>
          <w:p w:rsidR="00161AEC" w:rsidRPr="00B37F38" w:rsidRDefault="00161AEC" w:rsidP="00FB7B04">
            <w:pPr>
              <w:pStyle w:val="Default"/>
              <w:rPr>
                <w:rFonts w:ascii="Arial" w:hAnsi="Arial" w:cs="Arial"/>
                <w:color w:val="auto"/>
                <w:sz w:val="22"/>
                <w:szCs w:val="22"/>
              </w:rPr>
            </w:pPr>
          </w:p>
          <w:p w:rsidR="00161AEC" w:rsidRPr="00B37F38" w:rsidRDefault="00161AEC" w:rsidP="00FB7B04">
            <w:pPr>
              <w:pStyle w:val="Default"/>
              <w:rPr>
                <w:rFonts w:ascii="Arial" w:hAnsi="Arial" w:cs="Arial"/>
                <w:color w:val="auto"/>
              </w:rPr>
            </w:pPr>
            <w:r w:rsidRPr="00B37F38">
              <w:rPr>
                <w:rFonts w:ascii="Arial" w:hAnsi="Arial" w:cs="Arial"/>
                <w:color w:val="auto"/>
                <w:sz w:val="22"/>
                <w:szCs w:val="22"/>
              </w:rPr>
              <w:t>$ (Set of 5)</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Concrete Compressive Strength Test 4”x8” ASTM C39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Thickness of Drilled Concrete Corse ASTM C174</w:t>
            </w:r>
          </w:p>
        </w:tc>
        <w:tc>
          <w:tcPr>
            <w:tcW w:w="2430" w:type="dxa"/>
          </w:tcPr>
          <w:p w:rsidR="00161AEC" w:rsidRPr="00B37F38" w:rsidRDefault="00161AEC" w:rsidP="00FB7B04">
            <w:pPr>
              <w:pStyle w:val="Default"/>
              <w:rPr>
                <w:rFonts w:ascii="Arial" w:hAnsi="Arial" w:cs="Arial"/>
                <w:color w:val="auto"/>
                <w:sz w:val="22"/>
                <w:szCs w:val="22"/>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Moisture Transmission &amp; pH Test Kits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Concrete Cylinder HOLD (Not Tested)</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Bit Charge </w:t>
            </w:r>
          </w:p>
        </w:tc>
        <w:tc>
          <w:tcPr>
            <w:tcW w:w="2430" w:type="dxa"/>
          </w:tcPr>
          <w:p w:rsidR="00161AEC" w:rsidRPr="00B37F38" w:rsidRDefault="00161AEC" w:rsidP="00FB7B04">
            <w:pPr>
              <w:pStyle w:val="Default"/>
              <w:rPr>
                <w:rFonts w:ascii="Arial" w:hAnsi="Arial" w:cs="Arial"/>
                <w:color w:val="auto"/>
              </w:rPr>
            </w:pPr>
            <w:r w:rsidRPr="00B37F38">
              <w:rPr>
                <w:rFonts w:ascii="Arial" w:hAnsi="Arial" w:cs="Arial"/>
                <w:color w:val="auto"/>
              </w:rPr>
              <w:t xml:space="preserve">$ per Inch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 xml:space="preserve">Soils </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 xml:space="preserve">Cost per EACH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p w:rsidR="00161AEC" w:rsidRPr="00B37F38" w:rsidRDefault="00161AEC" w:rsidP="00FB7B04">
            <w:pPr>
              <w:pStyle w:val="Default"/>
              <w:rPr>
                <w:rFonts w:ascii="Arial" w:hAnsi="Arial" w:cs="Arial"/>
                <w:b/>
                <w:color w:val="auto"/>
              </w:rPr>
            </w:pPr>
            <w:r w:rsidRPr="00B37F38">
              <w:rPr>
                <w:rFonts w:ascii="Arial" w:hAnsi="Arial" w:cs="Arial"/>
                <w:color w:val="auto"/>
                <w:sz w:val="22"/>
                <w:szCs w:val="22"/>
              </w:rPr>
              <w:t>Limit/Plasticity Index ASTM D4319</w:t>
            </w: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Hydrometer Analysis ASTM D422</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lastRenderedPageBreak/>
              <w:t>Specific Gravity ASTM D854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R-Value ASTM D2844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Consolidated ASTM D24365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Unconfined Compressive Strength ASTM D2166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Direct Shear – Consolidated ASTM D3080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Expansion Index of Soils ASTM D4829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Moisture Determination of Soil and Rock ASTM D2216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Permeability Flexible Wall ASTM D5084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pH of Soils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Chloride Content of Soils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Minimum Resistivity CT643</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CBR, 100% ASTM D1883</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CBR, 95% 3 point method ASTM D1883</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 xml:space="preserve">Remold Charge </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Oversized Correction for Moisture Density ASTM D4718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Crumb Test ASTM D6572</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roofErr w:type="spellStart"/>
            <w:r w:rsidRPr="00B37F38">
              <w:rPr>
                <w:rFonts w:ascii="Arial" w:hAnsi="Arial" w:cs="Arial"/>
                <w:color w:val="auto"/>
                <w:sz w:val="22"/>
                <w:szCs w:val="22"/>
              </w:rPr>
              <w:t>Atterburg</w:t>
            </w:r>
            <w:proofErr w:type="spellEnd"/>
            <w:r w:rsidRPr="00B37F38">
              <w:rPr>
                <w:rFonts w:ascii="Arial" w:hAnsi="Arial" w:cs="Arial"/>
                <w:color w:val="auto"/>
                <w:sz w:val="22"/>
                <w:szCs w:val="22"/>
              </w:rPr>
              <w:t xml:space="preserve"> Limit (Liquid Limit) ASTM D4318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Maximum Density Standard Proctor ASTM D698</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Maximum Density Modified Proctor 4” Mold ASTM D1557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Maximum Density Modified Proctor 6” Mold ASTM D1557</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Relative Compaction of Soils and Aggregate CT 216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Unconfined Compressive Strength of Lime Treated Soils CT 373</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2B08D4" w:rsidRDefault="00161AEC" w:rsidP="00FB7B04">
            <w:pPr>
              <w:pStyle w:val="Default"/>
              <w:rPr>
                <w:rFonts w:ascii="Arial" w:hAnsi="Arial" w:cs="Arial"/>
                <w:color w:val="auto"/>
              </w:rPr>
            </w:pPr>
            <w:r w:rsidRPr="002B08D4">
              <w:rPr>
                <w:rFonts w:ascii="Arial" w:hAnsi="Arial" w:cs="Arial"/>
                <w:color w:val="auto"/>
              </w:rPr>
              <w:t>OTHER</w:t>
            </w: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 xml:space="preserve">Masonry </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 xml:space="preserve">Cost per EACH </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b/>
                <w:color w:val="auto"/>
              </w:rPr>
            </w:pPr>
            <w:r w:rsidRPr="00B37F38">
              <w:rPr>
                <w:rFonts w:ascii="Arial" w:hAnsi="Arial" w:cs="Arial"/>
                <w:color w:val="auto"/>
                <w:sz w:val="22"/>
                <w:szCs w:val="22"/>
              </w:rPr>
              <w:t>Mortar Cylinder Compressive Strength 2x4 ASTM C780</w:t>
            </w: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Grout Compressive Strength ASTM C1019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Prism Compressive Strength, ½ Size</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Masonry Core Unit Strength ASTM C1314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Masonry Core Shear Test ASTM C1314</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lastRenderedPageBreak/>
              <w:t>Masonry Block Compressive Strength ASTM C140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Absorption, Unit Weight and Moisture Content ASTM C140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Drying Shrinkage of Block ASTM C426</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Relative Mortar Strength CT 515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High Strength Grout Cubes ASTM C109</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 xml:space="preserve">Steel </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Cost per EACH</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Rebar Tensile Test ASTM A370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Rebar Bend Test ASTM A2901</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Rebar Tensile and Bend Test ASTM A370 and A290</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7 Strand Wire Cables ASTM A416</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b/>
                <w:color w:val="auto"/>
              </w:rPr>
              <w:t xml:space="preserve">Fireproofing </w:t>
            </w: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r w:rsidRPr="00B37F38">
              <w:rPr>
                <w:rFonts w:ascii="Arial" w:hAnsi="Arial" w:cs="Arial"/>
                <w:b/>
                <w:color w:val="auto"/>
              </w:rPr>
              <w:t>Cost per EACH</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sidRPr="00B37F38">
              <w:rPr>
                <w:rFonts w:ascii="Arial" w:hAnsi="Arial" w:cs="Arial"/>
                <w:color w:val="auto"/>
                <w:sz w:val="22"/>
                <w:szCs w:val="22"/>
              </w:rPr>
              <w:t>Fireproofing Dry Density ASTM E605</w:t>
            </w: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r>
              <w:rPr>
                <w:rFonts w:ascii="Arial" w:hAnsi="Arial" w:cs="Arial"/>
                <w:color w:val="auto"/>
                <w:sz w:val="22"/>
                <w:szCs w:val="22"/>
              </w:rPr>
              <w:t>OTHER</w:t>
            </w:r>
          </w:p>
        </w:tc>
        <w:tc>
          <w:tcPr>
            <w:tcW w:w="2430" w:type="dxa"/>
          </w:tcPr>
          <w:p w:rsidR="00161AEC" w:rsidRPr="00B37F38" w:rsidRDefault="00161AEC" w:rsidP="00FB7B04">
            <w:pPr>
              <w:pStyle w:val="Default"/>
              <w:rPr>
                <w:rFonts w:ascii="Arial" w:hAnsi="Arial" w:cs="Arial"/>
                <w:color w:val="auto"/>
              </w:rPr>
            </w:pPr>
          </w:p>
        </w:tc>
      </w:tr>
      <w:tr w:rsidR="00161AEC" w:rsidRPr="003C7014" w:rsidTr="00FB7B04">
        <w:trPr>
          <w:trHeight w:val="432"/>
        </w:trPr>
        <w:tc>
          <w:tcPr>
            <w:tcW w:w="9445" w:type="dxa"/>
            <w:gridSpan w:val="2"/>
            <w:shd w:val="clear" w:color="auto" w:fill="D9D9D9" w:themeFill="background1" w:themeFillShade="D9"/>
            <w:vAlign w:val="bottom"/>
          </w:tcPr>
          <w:p w:rsidR="00161AEC" w:rsidRDefault="00161AEC" w:rsidP="00FB7B04">
            <w:pPr>
              <w:pStyle w:val="Default"/>
              <w:ind w:left="1440"/>
              <w:jc w:val="center"/>
              <w:rPr>
                <w:rFonts w:ascii="Arial" w:hAnsi="Arial" w:cs="Arial"/>
                <w:b/>
                <w:color w:val="auto"/>
                <w:sz w:val="22"/>
                <w:szCs w:val="22"/>
              </w:rPr>
            </w:pPr>
            <w:r>
              <w:rPr>
                <w:rFonts w:ascii="Arial" w:hAnsi="Arial" w:cs="Arial"/>
                <w:b/>
                <w:color w:val="auto"/>
                <w:sz w:val="22"/>
                <w:szCs w:val="22"/>
              </w:rPr>
              <w:t>ADDITIONAL FEES OR REIMBURSABLES</w:t>
            </w:r>
          </w:p>
          <w:p w:rsidR="00161AEC" w:rsidRPr="00C628E5" w:rsidRDefault="00161AEC" w:rsidP="00FB7B04">
            <w:pPr>
              <w:pStyle w:val="Default"/>
              <w:jc w:val="center"/>
              <w:rPr>
                <w:rFonts w:ascii="Arial" w:hAnsi="Arial" w:cs="Arial"/>
                <w:b/>
                <w:i/>
                <w:color w:val="auto"/>
                <w:sz w:val="22"/>
                <w:szCs w:val="22"/>
              </w:rPr>
            </w:pPr>
            <w:r w:rsidRPr="00C628E5">
              <w:rPr>
                <w:rFonts w:ascii="Arial" w:hAnsi="Arial" w:cs="Arial"/>
                <w:i/>
                <w:color w:val="1F497D"/>
                <w:sz w:val="22"/>
                <w:szCs w:val="22"/>
              </w:rPr>
              <w:t xml:space="preserve">Payment for additional expenses and reimbursables are </w:t>
            </w:r>
            <w:r w:rsidRPr="00C628E5">
              <w:rPr>
                <w:rFonts w:ascii="Arial" w:hAnsi="Arial" w:cs="Arial"/>
                <w:i/>
                <w:color w:val="1F497D"/>
                <w:sz w:val="22"/>
                <w:szCs w:val="22"/>
                <w:u w:val="single"/>
              </w:rPr>
              <w:t>not</w:t>
            </w:r>
            <w:r w:rsidRPr="00C628E5">
              <w:rPr>
                <w:rFonts w:ascii="Arial" w:hAnsi="Arial" w:cs="Arial"/>
                <w:i/>
                <w:color w:val="1F497D"/>
                <w:sz w:val="22"/>
                <w:szCs w:val="22"/>
              </w:rPr>
              <w:t xml:space="preserve"> guaranteed and are subject to pre-authorization by NMC</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b/>
                <w:color w:val="auto"/>
              </w:rPr>
            </w:pPr>
          </w:p>
        </w:tc>
        <w:tc>
          <w:tcPr>
            <w:tcW w:w="2430" w:type="dxa"/>
          </w:tcPr>
          <w:p w:rsidR="00161AEC" w:rsidRPr="00B37F38" w:rsidRDefault="00161AEC" w:rsidP="00FB7B04">
            <w:pPr>
              <w:pStyle w:val="Default"/>
              <w:rPr>
                <w:rFonts w:ascii="Arial" w:hAnsi="Arial" w:cs="Arial"/>
                <w:b/>
                <w:color w:val="auto"/>
              </w:rPr>
            </w:pPr>
            <w:r>
              <w:rPr>
                <w:rFonts w:ascii="Arial" w:hAnsi="Arial" w:cs="Arial"/>
                <w:b/>
                <w:color w:val="auto"/>
              </w:rPr>
              <w:t>Cost per EACH</w:t>
            </w: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b/>
                <w:color w:val="auto"/>
              </w:rPr>
            </w:pPr>
          </w:p>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b/>
                <w:color w:val="auto"/>
              </w:rPr>
            </w:pPr>
          </w:p>
        </w:tc>
        <w:tc>
          <w:tcPr>
            <w:tcW w:w="2430" w:type="dxa"/>
          </w:tcPr>
          <w:p w:rsidR="00161AEC" w:rsidRPr="00B37F38" w:rsidRDefault="00161AEC" w:rsidP="00FB7B04">
            <w:pPr>
              <w:pStyle w:val="Default"/>
              <w:rPr>
                <w:rFonts w:ascii="Arial" w:hAnsi="Arial" w:cs="Arial"/>
                <w:b/>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r w:rsidR="00161AEC" w:rsidRPr="00B37F38" w:rsidTr="00FB7B04">
        <w:trPr>
          <w:trHeight w:val="432"/>
        </w:trPr>
        <w:tc>
          <w:tcPr>
            <w:tcW w:w="7015" w:type="dxa"/>
            <w:vAlign w:val="bottom"/>
          </w:tcPr>
          <w:p w:rsidR="00161AEC" w:rsidRPr="00B37F38" w:rsidRDefault="00161AEC" w:rsidP="00FB7B04">
            <w:pPr>
              <w:pStyle w:val="Default"/>
              <w:rPr>
                <w:rFonts w:ascii="Arial" w:hAnsi="Arial" w:cs="Arial"/>
                <w:color w:val="auto"/>
                <w:sz w:val="22"/>
                <w:szCs w:val="22"/>
              </w:rPr>
            </w:pPr>
          </w:p>
        </w:tc>
        <w:tc>
          <w:tcPr>
            <w:tcW w:w="2430" w:type="dxa"/>
          </w:tcPr>
          <w:p w:rsidR="00161AEC" w:rsidRPr="00B37F38" w:rsidRDefault="00161AEC" w:rsidP="00FB7B04">
            <w:pPr>
              <w:pStyle w:val="Default"/>
              <w:rPr>
                <w:rFonts w:ascii="Arial" w:hAnsi="Arial" w:cs="Arial"/>
                <w:color w:val="auto"/>
              </w:rPr>
            </w:pPr>
          </w:p>
        </w:tc>
      </w:tr>
    </w:tbl>
    <w:p w:rsidR="00161AEC" w:rsidRPr="00B37F38" w:rsidRDefault="00161AEC" w:rsidP="00161AEC"/>
    <w:p w:rsidR="00161AEC" w:rsidRPr="00B37F38" w:rsidRDefault="00161AEC" w:rsidP="00161AEC">
      <w:pPr>
        <w:rPr>
          <w:i/>
          <w:sz w:val="20"/>
        </w:rPr>
      </w:pPr>
      <w:r w:rsidRPr="00B37F38">
        <w:rPr>
          <w:i/>
          <w:sz w:val="20"/>
        </w:rPr>
        <w:t xml:space="preserve">Additional sheets may be added if necessary </w:t>
      </w:r>
    </w:p>
    <w:p w:rsidR="00161AEC" w:rsidRPr="00B37F38" w:rsidRDefault="00161AEC" w:rsidP="00161AEC">
      <w:pPr>
        <w:rPr>
          <w:i/>
        </w:rPr>
      </w:pPr>
    </w:p>
    <w:p w:rsidR="00161AEC" w:rsidRPr="00B37F38" w:rsidRDefault="00161AEC" w:rsidP="00161AEC">
      <w:pPr>
        <w:rPr>
          <w:i/>
        </w:rPr>
      </w:pPr>
    </w:p>
    <w:p w:rsidR="00161AEC" w:rsidRPr="00B37F38" w:rsidRDefault="00161AEC" w:rsidP="00161AEC">
      <w:pPr>
        <w:rPr>
          <w:i/>
        </w:rPr>
      </w:pPr>
      <w:r w:rsidRPr="00B37F38">
        <w:rPr>
          <w:i/>
        </w:rPr>
        <w:t>---End of ATTACHMENT C---</w:t>
      </w:r>
    </w:p>
    <w:p w:rsidR="00DE6D5A" w:rsidRDefault="00161AEC"/>
    <w:sectPr w:rsidR="00DE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EC"/>
    <w:rsid w:val="00161AEC"/>
    <w:rsid w:val="00AE582A"/>
    <w:rsid w:val="00F9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4F0DF-B2CB-4C0E-9E4C-C7508A0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A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1">
    <w:name w:val="CM51"/>
    <w:basedOn w:val="Default"/>
    <w:next w:val="Default"/>
    <w:rsid w:val="00161AEC"/>
    <w:pPr>
      <w:spacing w:after="275"/>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NMC</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Zendejas, Maribel</dc:creator>
  <cp:keywords/>
  <dc:description/>
  <cp:lastModifiedBy>Zendejas, Maribel</cp:lastModifiedBy>
  <cp:revision>1</cp:revision>
  <dcterms:created xsi:type="dcterms:W3CDTF">2018-01-24T19:19:00Z</dcterms:created>
  <dcterms:modified xsi:type="dcterms:W3CDTF">2018-01-24T19:21:00Z</dcterms:modified>
</cp:coreProperties>
</file>